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4</w:t>
      </w:r>
    </w:p>
    <w:p>
      <w:r>
        <w:t>Bundesgericht (BGE), 1981-01-12, IT</w:t>
      </w:r>
    </w:p>
    <w:p>
      <w:r>
        <w:rPr>
          <w:b/>
        </w:rPr>
        <w:t xml:space="preserve">Quelle: </w:t>
      </w:r>
      <w:r>
        <w:t>https://mcp.opencaselaw.ch/entscheid/bge_107 V 4</w:t>
      </w:r>
    </w:p>
    <w:p>
      <w:r>
        <w:t>FR: ATF 107 V 4</w:t>
      </w:r>
    </w:p>
    <w:p>
      <w:r>
        <w:t>IT: DTF 107 V 4</w:t>
      </w:r>
    </w:p>
    <w:p>
      <w:pPr>
        <w:pStyle w:val="Heading2"/>
      </w:pPr>
      <w:r>
        <w:t>Regeste</w:t>
      </w:r>
    </w:p>
    <w:p>
      <w:r>
        <w:t>Regeste Art. 8 AHVG und Art. 22, Art. 23, Art. 24, Art. 25 AHVV. - Die Gewährung einer ordentlichen Nachlassstundung und die Genehmigung des ordentlichen Nachlassvertrages erlauben nicht den Übergang von der ordentlichen zur ausserordentlichen Beitragsfestsetzung (Erw. 4a). - Wenn die Zwischenveranlagung auf einem der in Art. 25 Abs. 1 AHVV genannten Gründe fusst, ist sie für die Beitragsbemessung von Bedeutung; andernfalls kann sie für die steuerlichen, nicht aber für die versicherungsrechtlichen Belange bedeutsam sein (Erw. 4b).</w:t>
      </w:r>
    </w:p>
    <w:p>
      <w:pPr>
        <w:pStyle w:val="Heading2"/>
      </w:pPr>
      <w:r>
        <w:t>Volltext</w:t>
      </w:r>
    </w:p>
    <w:p>
      <w:r>
        <w:t>Urteilskopf 107 V 4 2. Estratto della sentenza del 12 gennaio 1981 nella causa Zeis contro Cassa di compensazione del Cantone Ticino e Tribunale delle assicurazioni del Cantone Ticino. Regeste Art. 8 AHVG und Art. 22, Art. 23, Art. 24, Art. 25 AHVV . - Die Gewährung einer ordentlichen Nachlassstundung und die Genehmigung des ordentlichen Nachlassvertrages erlauben nicht den Übergang von der ordentlichen zur ausserordentlichen Beitragsfestsetzung (Erw. 4a). - Wenn die Zwischenveranlagung auf einem der in Art. 25 Abs. 1 AHVV genannten Gründe fusst, ist sie für die Beitragsbemessung von Bedeutung; andernfalls kann sie für die steuerlichen, nicht aber für die versicherungsrechtlichen Belange bedeutsam sein (Erw. 4b). Erwägungen ab Seite 4 BGE 107 V 4 S. 4 Estratti dai considerandi: 4. Secondo l' art. 23 cpv. 4 LAVS le indicazioni della autorità fiscale cantonale concernenti il reddito determinante sono vincolanti. La giurisprudenza ne ha dedotto che il giudice delle assicurazioni sociali può scostarsi da tassazioni cresciute in giudicato soltanto quando esse siano infirmate da errori manifesti che senz'altro sono da rettificare, oppure quando sia necessario apprezzare fatti irrilevanti dal profilo fiscale, ma di rilievo per quello assicurativo ( DTF 102 V 30 consid. 3a). Il Tribunale federale delle assicurazioni ha ripetutamente dichiarato che, rispetto agli art. 22 e 23, l' art. 25 OAVS riveste il carattere della norma d'eccezione e non può quindi essere interpretato in modo estensivo ( DTF 98 V 245 ; RCC 1976 pag. 235; 1971 pag. 415) Perché questa disposizione BGE 107 V 4 S. 5 disposizione sia applicabile non basta una mera variazione dell'entità del reddito nel caso singolo: l' art. 25 OAVS concerne soltanto i casi in cui la struttura stessa dell'attività economica sia profondamente modificata. a) Nell'evenienza concreta nel momento in cui la Cassa di compensazione ha deciso, data che segna nel tempo i poteri di cognizione di questa Corte ( DTF 105 V 154 ), l'amministrazione tributaria le aveva trasmesso una comunicazione concernente il reddito medio determinante un importo ai fini dell'IDN 19o periodo in decisione cresciuta in giudicato. In corretta applicazione della procedura ordinaria di determinazione dei contributi, la Cassa di compensazione ne ha esattamente fissato l'importo. Ora, all'inizio d'aprile del 1979, la ricorrente era già al beneficio di una moratoria concordataria di quattro mesi accordatale a decorrere dal 15 marzo 1979. Circa l'effetto del concordato ai fini dell'imposizione dei contributi, nella sentenza del 7 novembre 1978 in re Bruschi, il Tribunale federale delle assicurazioni ha in sostanza affermato che la concessione di una moratoria (atto preliminare alla concessione di un concordato), la quale permette ad un assicurato di continuare il suo commercio o la sua industria sotto la vigilanza di un commissario, non adempie i presupposti dell' art. 25 OAVS (non consente cioè di passare dal sistema ordinario a quello straordinario di determinazione dei contributi). Infatti, per essa, non si crea una modificazione duratura delle fonti di reddito e della struttura stessa dell'attività economica. In concreto - aperto il tema di sapere se la moratoria concordataria concessa alla ricorrente sia invocabile in quanto verificatasi dopo la resa della decisione amministrativa in lite - il concordato è stato successivamente omologato dal Pretore di Lugano-Distretto. Si era trattato di un concordato ordinario (art. 293 e seg. LEF) e non già di un concordato per abbandono dell'attivo ( art. 316a LEF ). Esso tendeva quindi, come istrumento giuridico, ad evitare al debitore onesto ed in difficoltà le conseguenze del pignoramento e del fallimento e la distruzione della sua personalità economica, liberandolo dall'ostacolo che costituisce l'esistenza di attestati di carenza di beni. In virtù del concordato la ricorrente potrà continuare la sua attività di indipendente al riparo di una situazione patrimoniale BGE 107 V 4 S. 6 che avrebbe potuto condurla al fallimento. Con ciò non è intervenuto cambiamento di professione, non si è estinta una fonte di reddito e non è intervenuta una nuova ripartizione del reddito aziendale. Si è ovviato a che il reddito subisse una modificazione importante e duratura. Ne deve quindi essere dedotto che il fatto della concessione di una moratoria concordataria e quello (aperto il tema se ritenibile o meno in questa sede) dell'omologazione del concordato ordinario non consentono il passaggio dal sistema ordinario a quello straordinario di determinazione dei contributi. Dato quanto precede il ricorso di diritto amministrativo non è accoglibile. b) La ricorrente si prevale anche del fatto che il 28 giugno 1979 l'Ufficio di tassazione ha dichiarato che avrebbe emesso una tassazione intermedia a partire dal 1o gennaio 1978 per "cessazione dell'attività lucrativa" mandando esente la ricorrente da tale data dall'imposta sul reddito e sulla sostanza. Questa tassazione intermedia venne intimata alla ricorrente il 9 agosto 1979. Al riguardo il primo tema che si pone è di natura procedurale. Come già si è detto, il giudice delle assicurazioni sociali giudica nella situazione di fatto e di diritto esistente al momento in cui la decisione in lite è stata resa dalla Cassa di compensazione. Visto che in concreto tale decisione data del 5 aprile 1979, epoca in cui l'amministrazione tributaria non aveva ancora deciso nel senso sopra indicato, occorre stabilire se si tratta di un fatto nuovo, quindi non opponibile, di un semplice accertamento di un fatto non documentato ma verificatosi in precedenza oppure se si tratta di un fatto nuovo su cui l'amministrazione ancora non ha deciso e che quindi deve essere preliminarmente sottoposto alla Cassa di compensazione in virtù dell' art. 23 cpv. 3 OAVS . Nel merito può essere affermato che una tassazione intermedia è da rilevare se essa è basata su uno dei motivi indicati dall' art. 25 cpv. 1 OAVS , altrimenti essa può essere di rilievo fiscale, ma non di rilievo assicurativo. In concreto la tassazione intermedia è stata resa per "cessazione dell'attività lucrativa" il che comporterebbe il passaggio (come rettamente argomenta l'Ufficio federale delle assicurazioni sociali nella sua risposta al gravame) della ricorrente dal novero degli indipendenti a quello dei non esercitanti un'attività lucrativa (art. 28 e seg. OAVS). La motivazione BGE 107 V 4 S. 7 dell'autorità fiscale è imprecisa. Dal profilo delle assicurazioni sociali essa quanto meno disattende che con l'omologazione del concordato alla ricorrente è stata resa possibile la continuazione della sua attività, che la ditta non è stata cancellata e che quindi si è in sostanza trattato di una sia pure incisiva fluttuazione di reddito non comportante per l' art. 25 OAVS una modificazione determinante e nemmeno comportante il passaggio da una categoria all'altra di contribuenti. Anche per le suesposte ragioni il ricorso di diritto amministrativo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